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0"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0"/>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32687969" w:rsidR="000F0FF8" w:rsidRPr="007050F1" w:rsidRDefault="00F45CCA" w:rsidP="00F45CCA">
      <w:pPr>
        <w:jc w:val="center"/>
        <w:rPr>
          <w:rFonts w:ascii="Times New Roman" w:hAnsi="Times New Roman"/>
          <w:i/>
          <w:color w:val="0E0E0E"/>
          <w:sz w:val="28"/>
          <w:szCs w:val="32"/>
          <w:lang w:val="en-GB"/>
        </w:rPr>
      </w:pPr>
      <w:r w:rsidRPr="007050F1">
        <w:rPr>
          <w:rFonts w:asciiTheme="minorHAnsi" w:eastAsiaTheme="minorHAnsi" w:hAnsiTheme="minorHAnsi" w:cstheme="minorBidi"/>
          <w:b/>
          <w:sz w:val="40"/>
          <w:szCs w:val="28"/>
          <w:lang w:val="en-GB"/>
        </w:rPr>
        <w:t xml:space="preserve">Online article </w:t>
      </w:r>
      <w:r w:rsidR="00BD49C0" w:rsidRPr="007050F1">
        <w:rPr>
          <w:rFonts w:asciiTheme="minorHAnsi" w:eastAsiaTheme="minorHAnsi" w:hAnsiTheme="minorHAnsi" w:cstheme="minorBidi"/>
          <w:b/>
          <w:sz w:val="40"/>
          <w:szCs w:val="28"/>
          <w:lang w:val="en-GB"/>
        </w:rPr>
        <w:t>2</w:t>
      </w:r>
    </w:p>
    <w:p w14:paraId="1F5B6FB8" w14:textId="03E34B5B" w:rsidR="006F37EA" w:rsidRPr="007050F1" w:rsidRDefault="00F45CCA" w:rsidP="00F45CCA">
      <w:pPr>
        <w:pStyle w:val="MittlereSchattierung1-Akzent11"/>
        <w:spacing w:line="276" w:lineRule="auto"/>
        <w:ind w:left="2880" w:hanging="2880"/>
        <w:jc w:val="center"/>
        <w:rPr>
          <w:rFonts w:ascii="Arial" w:hAnsi="Arial" w:cs="Arial"/>
        </w:rPr>
      </w:pPr>
      <w:r w:rsidRPr="007050F1">
        <w:rPr>
          <w:rFonts w:ascii="Arial" w:hAnsi="Arial" w:cs="Arial"/>
        </w:rPr>
        <w:t xml:space="preserve">UPB, </w:t>
      </w:r>
      <w:r w:rsidR="00BD49C0" w:rsidRPr="007050F1">
        <w:rPr>
          <w:rFonts w:ascii="Arial" w:hAnsi="Arial" w:cs="Arial"/>
        </w:rPr>
        <w:t>Jennifer Schneider</w:t>
      </w:r>
    </w:p>
    <w:p w14:paraId="0410B5CD" w14:textId="77777777" w:rsidR="00F45CCA" w:rsidRPr="007050F1"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7050F1"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P3 – ZEBRA – KURZY ZEBRA s.r.o., CZ (Partner)</w:t>
      </w:r>
    </w:p>
    <w:p w14:paraId="271B1873" w14:textId="77777777" w:rsidR="00172D2B" w:rsidRPr="00402B50" w:rsidRDefault="00172D2B" w:rsidP="00CD3D3C">
      <w:pPr>
        <w:rPr>
          <w:b/>
          <w:sz w:val="24"/>
          <w:szCs w:val="28"/>
          <w:lang w:val="en-US"/>
        </w:rPr>
      </w:pPr>
    </w:p>
    <w:p w14:paraId="312350A9" w14:textId="7E235947" w:rsidR="00CD3D3C" w:rsidRDefault="004C6993" w:rsidP="00CD3D3C">
      <w:pPr>
        <w:rPr>
          <w:b/>
          <w:sz w:val="24"/>
          <w:szCs w:val="28"/>
        </w:rPr>
      </w:pPr>
      <w:r w:rsidRPr="009C68F2">
        <w:rPr>
          <w:b/>
          <w:sz w:val="24"/>
          <w:szCs w:val="28"/>
        </w:rPr>
        <w:lastRenderedPageBreak/>
        <w:t xml:space="preserve">Streaming </w:t>
      </w:r>
      <w:r w:rsidR="000A2A9C">
        <w:rPr>
          <w:b/>
          <w:sz w:val="24"/>
          <w:szCs w:val="28"/>
        </w:rPr>
        <w:t>trifft auf Schule</w:t>
      </w:r>
      <w:r w:rsidR="00CD3D3C" w:rsidRPr="009C68F2">
        <w:rPr>
          <w:b/>
          <w:sz w:val="24"/>
          <w:szCs w:val="28"/>
        </w:rPr>
        <w:t xml:space="preserve"> -Das Erasmus+ - Projekt </w:t>
      </w:r>
      <w:r w:rsidRPr="009C68F2">
        <w:rPr>
          <w:b/>
          <w:sz w:val="24"/>
          <w:szCs w:val="28"/>
        </w:rPr>
        <w:t>SAFE</w:t>
      </w:r>
      <w:r w:rsidR="00CD3D3C" w:rsidRPr="009C68F2">
        <w:rPr>
          <w:b/>
          <w:sz w:val="24"/>
          <w:szCs w:val="28"/>
        </w:rPr>
        <w:t xml:space="preserve"> </w:t>
      </w:r>
    </w:p>
    <w:p w14:paraId="2D24EF68" w14:textId="3557B2EC" w:rsidR="00BD49C0" w:rsidRDefault="00BD49C0" w:rsidP="00BD49C0">
      <w:pPr>
        <w:jc w:val="right"/>
        <w:rPr>
          <w:b/>
          <w:sz w:val="24"/>
          <w:szCs w:val="28"/>
        </w:rPr>
      </w:pPr>
      <w:r>
        <w:rPr>
          <w:b/>
          <w:sz w:val="24"/>
          <w:szCs w:val="28"/>
        </w:rPr>
        <w:t>Was macht das Distanzlernen und -Lehren erfolgreich?</w:t>
      </w:r>
    </w:p>
    <w:p w14:paraId="543BCECA" w14:textId="08CF2A60" w:rsidR="004F2628" w:rsidRPr="00CA5F4D" w:rsidRDefault="00BD49C0" w:rsidP="00CD3D3C">
      <w:pPr>
        <w:spacing w:after="120"/>
        <w:jc w:val="both"/>
        <w:rPr>
          <w:color w:val="000000" w:themeColor="text1"/>
        </w:rPr>
      </w:pPr>
      <w:r w:rsidRPr="00BD49C0">
        <w:rPr>
          <w:color w:val="000000" w:themeColor="text1"/>
        </w:rPr>
        <w:t>Das von der</w:t>
      </w:r>
      <w:r w:rsidR="00CD3D3C" w:rsidRPr="00BD49C0">
        <w:rPr>
          <w:color w:val="000000" w:themeColor="text1"/>
        </w:rPr>
        <w:t xml:space="preserve"> Europäische Union geförderte Erasmus+ - Projekt </w:t>
      </w:r>
      <w:r w:rsidR="00750D24" w:rsidRPr="00BD49C0">
        <w:rPr>
          <w:b/>
          <w:color w:val="000000" w:themeColor="text1"/>
        </w:rPr>
        <w:t>SAFE</w:t>
      </w:r>
      <w:r w:rsidR="00CD3D3C" w:rsidRPr="00BD49C0">
        <w:rPr>
          <w:b/>
          <w:color w:val="000000" w:themeColor="text1"/>
        </w:rPr>
        <w:t xml:space="preserve"> („</w:t>
      </w:r>
      <w:r w:rsidR="00750D24" w:rsidRPr="00BD49C0">
        <w:rPr>
          <w:b/>
          <w:color w:val="000000" w:themeColor="text1"/>
        </w:rPr>
        <w:t xml:space="preserve">Streaming </w:t>
      </w:r>
      <w:proofErr w:type="spellStart"/>
      <w:r w:rsidR="00750D24" w:rsidRPr="00BD49C0">
        <w:rPr>
          <w:b/>
          <w:color w:val="000000" w:themeColor="text1"/>
        </w:rPr>
        <w:t>approaches</w:t>
      </w:r>
      <w:proofErr w:type="spellEnd"/>
      <w:r w:rsidR="00750D24" w:rsidRPr="00BD49C0">
        <w:rPr>
          <w:b/>
          <w:color w:val="000000" w:themeColor="text1"/>
        </w:rPr>
        <w:t xml:space="preserve"> for Europe – </w:t>
      </w:r>
      <w:proofErr w:type="spellStart"/>
      <w:r w:rsidR="00750D24" w:rsidRPr="00BD49C0">
        <w:rPr>
          <w:b/>
          <w:color w:val="000000" w:themeColor="text1"/>
        </w:rPr>
        <w:t>Enhancing</w:t>
      </w:r>
      <w:proofErr w:type="spellEnd"/>
      <w:r w:rsidR="00750D24" w:rsidRPr="00BD49C0">
        <w:rPr>
          <w:b/>
          <w:color w:val="000000" w:themeColor="text1"/>
        </w:rPr>
        <w:t xml:space="preserve"> the digital </w:t>
      </w:r>
      <w:proofErr w:type="spellStart"/>
      <w:r w:rsidR="00750D24" w:rsidRPr="00BD49C0">
        <w:rPr>
          <w:b/>
          <w:color w:val="000000" w:themeColor="text1"/>
        </w:rPr>
        <w:t>competences</w:t>
      </w:r>
      <w:proofErr w:type="spellEnd"/>
      <w:r w:rsidR="00750D24" w:rsidRPr="00BD49C0">
        <w:rPr>
          <w:b/>
          <w:color w:val="000000" w:themeColor="text1"/>
        </w:rPr>
        <w:t xml:space="preserve"> by </w:t>
      </w:r>
      <w:proofErr w:type="spellStart"/>
      <w:r w:rsidR="00750D24" w:rsidRPr="00BD49C0">
        <w:rPr>
          <w:b/>
          <w:color w:val="000000" w:themeColor="text1"/>
        </w:rPr>
        <w:t>streaming</w:t>
      </w:r>
      <w:proofErr w:type="spellEnd"/>
      <w:r w:rsidR="00750D24" w:rsidRPr="00BD49C0">
        <w:rPr>
          <w:b/>
          <w:color w:val="000000" w:themeColor="text1"/>
        </w:rPr>
        <w:t xml:space="preserve"> </w:t>
      </w:r>
      <w:proofErr w:type="spellStart"/>
      <w:r w:rsidR="00750D24" w:rsidRPr="00BD49C0">
        <w:rPr>
          <w:b/>
          <w:color w:val="000000" w:themeColor="text1"/>
        </w:rPr>
        <w:t>approaches</w:t>
      </w:r>
      <w:proofErr w:type="spellEnd"/>
      <w:r w:rsidR="00750D24" w:rsidRPr="00BD49C0">
        <w:rPr>
          <w:b/>
          <w:color w:val="000000" w:themeColor="text1"/>
        </w:rPr>
        <w:t xml:space="preserve"> for </w:t>
      </w:r>
      <w:proofErr w:type="spellStart"/>
      <w:r w:rsidR="00750D24" w:rsidRPr="00BD49C0">
        <w:rPr>
          <w:b/>
          <w:color w:val="000000" w:themeColor="text1"/>
        </w:rPr>
        <w:t>schools</w:t>
      </w:r>
      <w:proofErr w:type="spellEnd"/>
      <w:r w:rsidR="00750D24" w:rsidRPr="00BD49C0">
        <w:rPr>
          <w:b/>
          <w:color w:val="000000" w:themeColor="text1"/>
        </w:rPr>
        <w:t xml:space="preserve"> to </w:t>
      </w:r>
      <w:proofErr w:type="spellStart"/>
      <w:r w:rsidR="00750D24" w:rsidRPr="00BD49C0">
        <w:rPr>
          <w:b/>
          <w:color w:val="000000" w:themeColor="text1"/>
        </w:rPr>
        <w:t>tackle</w:t>
      </w:r>
      <w:proofErr w:type="spellEnd"/>
      <w:r w:rsidR="00750D24" w:rsidRPr="00BD49C0">
        <w:rPr>
          <w:b/>
          <w:color w:val="000000" w:themeColor="text1"/>
        </w:rPr>
        <w:t xml:space="preserve"> the </w:t>
      </w:r>
      <w:proofErr w:type="spellStart"/>
      <w:r w:rsidR="00750D24" w:rsidRPr="00BD49C0">
        <w:rPr>
          <w:b/>
          <w:color w:val="000000" w:themeColor="text1"/>
        </w:rPr>
        <w:t>challenges</w:t>
      </w:r>
      <w:proofErr w:type="spellEnd"/>
      <w:r w:rsidR="00750D24" w:rsidRPr="00BD49C0">
        <w:rPr>
          <w:b/>
          <w:color w:val="000000" w:themeColor="text1"/>
        </w:rPr>
        <w:t xml:space="preserve"> of COVID-19</w:t>
      </w:r>
      <w:r w:rsidR="00CD3D3C" w:rsidRPr="00BD49C0">
        <w:rPr>
          <w:b/>
          <w:color w:val="000000" w:themeColor="text1"/>
        </w:rPr>
        <w:t>“)</w:t>
      </w:r>
      <w:r w:rsidR="00CD3D3C" w:rsidRPr="00BD49C0">
        <w:rPr>
          <w:color w:val="000000" w:themeColor="text1"/>
        </w:rPr>
        <w:t xml:space="preserve"> </w:t>
      </w:r>
      <w:r w:rsidRPr="00BD49C0">
        <w:rPr>
          <w:color w:val="000000" w:themeColor="text1"/>
        </w:rPr>
        <w:t>nimmt sich diese Beantwortung zur Au</w:t>
      </w:r>
      <w:r>
        <w:rPr>
          <w:color w:val="000000" w:themeColor="text1"/>
        </w:rPr>
        <w:t>fgabe!</w:t>
      </w:r>
    </w:p>
    <w:p w14:paraId="5765BEBF" w14:textId="7785B9C7" w:rsidR="004F2628" w:rsidRPr="00CA5F4D" w:rsidRDefault="00CA5F4D" w:rsidP="00CD3D3C">
      <w:pPr>
        <w:spacing w:after="120"/>
        <w:jc w:val="both"/>
        <w:rPr>
          <w:color w:val="000000" w:themeColor="text1"/>
        </w:rPr>
      </w:pPr>
      <w:r w:rsidRPr="00CA5F4D">
        <w:rPr>
          <w:b/>
          <w:color w:val="000000" w:themeColor="text1"/>
        </w:rPr>
        <w:t xml:space="preserve">Hauptziel des </w:t>
      </w:r>
      <w:r w:rsidR="007A00AB" w:rsidRPr="00CA5F4D">
        <w:rPr>
          <w:b/>
          <w:color w:val="000000" w:themeColor="text1"/>
        </w:rPr>
        <w:t>Projekt</w:t>
      </w:r>
      <w:r w:rsidRPr="00CA5F4D">
        <w:rPr>
          <w:b/>
          <w:color w:val="000000" w:themeColor="text1"/>
        </w:rPr>
        <w:t xml:space="preserve">es SAFE </w:t>
      </w:r>
      <w:r w:rsidRPr="00F269D7">
        <w:rPr>
          <w:color w:val="000000" w:themeColor="text1"/>
        </w:rPr>
        <w:t>ist die Erstellung eines</w:t>
      </w:r>
      <w:r w:rsidR="007A00AB" w:rsidRPr="00F269D7">
        <w:rPr>
          <w:color w:val="000000" w:themeColor="text1"/>
        </w:rPr>
        <w:t xml:space="preserve"> Grundkonzept</w:t>
      </w:r>
      <w:r w:rsidRPr="00F269D7">
        <w:rPr>
          <w:color w:val="000000" w:themeColor="text1"/>
        </w:rPr>
        <w:t>es</w:t>
      </w:r>
      <w:r w:rsidR="007A00AB" w:rsidRPr="00F269D7">
        <w:rPr>
          <w:color w:val="000000" w:themeColor="text1"/>
        </w:rPr>
        <w:t xml:space="preserve"> für die Integration von eLearning </w:t>
      </w:r>
      <w:r w:rsidR="0040481B" w:rsidRPr="00F269D7">
        <w:rPr>
          <w:color w:val="000000" w:themeColor="text1"/>
        </w:rPr>
        <w:t>in die täglichen Unterrichtseinheiten</w:t>
      </w:r>
      <w:r w:rsidR="007A00AB" w:rsidRPr="00CA5F4D">
        <w:rPr>
          <w:color w:val="000000" w:themeColor="text1"/>
        </w:rPr>
        <w:t xml:space="preserve">. In diesem Grundkonzept verwenden Lehrer Tablets oder Laptops, auf denen beispielweise </w:t>
      </w:r>
      <w:proofErr w:type="spellStart"/>
      <w:r w:rsidR="007A00AB" w:rsidRPr="00CA5F4D">
        <w:rPr>
          <w:color w:val="000000" w:themeColor="text1"/>
        </w:rPr>
        <w:t>Blackboard</w:t>
      </w:r>
      <w:proofErr w:type="spellEnd"/>
      <w:r w:rsidR="005F3DA3" w:rsidRPr="00CA5F4D">
        <w:rPr>
          <w:color w:val="000000" w:themeColor="text1"/>
        </w:rPr>
        <w:t xml:space="preserve">-Anwendungen wie </w:t>
      </w:r>
      <w:proofErr w:type="spellStart"/>
      <w:r w:rsidR="005F3DA3" w:rsidRPr="00CA5F4D">
        <w:rPr>
          <w:color w:val="000000" w:themeColor="text1"/>
        </w:rPr>
        <w:t>LiveBoard</w:t>
      </w:r>
      <w:proofErr w:type="spellEnd"/>
      <w:r w:rsidR="005F3DA3" w:rsidRPr="00CA5F4D">
        <w:rPr>
          <w:color w:val="000000" w:themeColor="text1"/>
        </w:rPr>
        <w:t xml:space="preserve">, </w:t>
      </w:r>
      <w:proofErr w:type="spellStart"/>
      <w:r w:rsidR="005F3DA3" w:rsidRPr="00CA5F4D">
        <w:rPr>
          <w:color w:val="000000" w:themeColor="text1"/>
        </w:rPr>
        <w:t>Doceri</w:t>
      </w:r>
      <w:proofErr w:type="spellEnd"/>
      <w:r w:rsidR="005F3DA3" w:rsidRPr="00CA5F4D">
        <w:rPr>
          <w:color w:val="000000" w:themeColor="text1"/>
        </w:rPr>
        <w:t xml:space="preserve"> oder </w:t>
      </w:r>
      <w:proofErr w:type="spellStart"/>
      <w:r w:rsidR="005F3DA3" w:rsidRPr="00CA5F4D">
        <w:rPr>
          <w:color w:val="000000" w:themeColor="text1"/>
        </w:rPr>
        <w:t>Explain</w:t>
      </w:r>
      <w:proofErr w:type="spellEnd"/>
      <w:r w:rsidR="005F3DA3" w:rsidRPr="00CA5F4D">
        <w:rPr>
          <w:color w:val="000000" w:themeColor="text1"/>
        </w:rPr>
        <w:t xml:space="preserve"> </w:t>
      </w:r>
      <w:proofErr w:type="spellStart"/>
      <w:r w:rsidR="005F3DA3" w:rsidRPr="00CA5F4D">
        <w:rPr>
          <w:color w:val="000000" w:themeColor="text1"/>
        </w:rPr>
        <w:t>Everythings</w:t>
      </w:r>
      <w:proofErr w:type="spellEnd"/>
      <w:r w:rsidR="005F3DA3" w:rsidRPr="00CA5F4D">
        <w:rPr>
          <w:color w:val="000000" w:themeColor="text1"/>
        </w:rPr>
        <w:t xml:space="preserve"> gestreamt werden</w:t>
      </w:r>
      <w:r w:rsidR="0040481B">
        <w:rPr>
          <w:color w:val="000000" w:themeColor="text1"/>
        </w:rPr>
        <w:t>. Lernende können so trotz räumlicher Trennung am Unterricht teilnehmen, indem sie die Stimme</w:t>
      </w:r>
      <w:r w:rsidR="007F4522">
        <w:rPr>
          <w:color w:val="000000" w:themeColor="text1"/>
        </w:rPr>
        <w:t xml:space="preserve">n </w:t>
      </w:r>
      <w:r w:rsidR="00C105E3">
        <w:rPr>
          <w:color w:val="000000" w:themeColor="text1"/>
        </w:rPr>
        <w:t xml:space="preserve">des Klassenzimmers </w:t>
      </w:r>
      <w:r w:rsidR="007F4522">
        <w:rPr>
          <w:color w:val="000000" w:themeColor="text1"/>
        </w:rPr>
        <w:t xml:space="preserve">und </w:t>
      </w:r>
      <w:r w:rsidR="0040481B">
        <w:rPr>
          <w:color w:val="000000" w:themeColor="text1"/>
        </w:rPr>
        <w:t xml:space="preserve">die </w:t>
      </w:r>
      <w:proofErr w:type="spellStart"/>
      <w:r w:rsidR="0040481B">
        <w:rPr>
          <w:color w:val="000000" w:themeColor="text1"/>
        </w:rPr>
        <w:t>Blackboard</w:t>
      </w:r>
      <w:proofErr w:type="spellEnd"/>
      <w:r w:rsidR="0040481B">
        <w:rPr>
          <w:color w:val="000000" w:themeColor="text1"/>
        </w:rPr>
        <w:t>-Anwendung</w:t>
      </w:r>
      <w:r w:rsidR="005F3DA3" w:rsidRPr="00CA5F4D">
        <w:rPr>
          <w:color w:val="000000" w:themeColor="text1"/>
        </w:rPr>
        <w:t xml:space="preserve"> </w:t>
      </w:r>
      <w:r w:rsidR="007F4522">
        <w:rPr>
          <w:color w:val="000000" w:themeColor="text1"/>
        </w:rPr>
        <w:t xml:space="preserve">streamen. </w:t>
      </w:r>
      <w:r w:rsidRPr="00CA5F4D">
        <w:rPr>
          <w:color w:val="000000" w:themeColor="text1"/>
        </w:rPr>
        <w:t xml:space="preserve">Gleichwohl will das Projekt SAFE </w:t>
      </w:r>
      <w:r w:rsidR="00FE1443">
        <w:rPr>
          <w:color w:val="000000" w:themeColor="text1"/>
        </w:rPr>
        <w:t xml:space="preserve">online </w:t>
      </w:r>
      <w:r w:rsidRPr="00CA5F4D">
        <w:rPr>
          <w:color w:val="000000" w:themeColor="text1"/>
        </w:rPr>
        <w:t>Lehrerfortbildungen zur erfolgreichen Implementierung von Streaming Ansätzen anbieten.</w:t>
      </w:r>
    </w:p>
    <w:p w14:paraId="41BDA1D1" w14:textId="2C82E905" w:rsidR="00BD49C0" w:rsidRPr="00BD49C0" w:rsidRDefault="00BD49C0" w:rsidP="00BD49C0">
      <w:pPr>
        <w:jc w:val="right"/>
        <w:rPr>
          <w:b/>
          <w:color w:val="000000" w:themeColor="text1"/>
          <w:sz w:val="24"/>
        </w:rPr>
      </w:pPr>
      <w:r w:rsidRPr="00BD49C0">
        <w:rPr>
          <w:b/>
          <w:color w:val="000000" w:themeColor="text1"/>
          <w:sz w:val="24"/>
        </w:rPr>
        <w:t>Doch was macht jetzt das Lernen erfolgreich?</w:t>
      </w:r>
    </w:p>
    <w:p w14:paraId="496DC6DE" w14:textId="14DD8EF2" w:rsidR="00BD49C0" w:rsidRPr="00BD49C0" w:rsidRDefault="00BD49C0" w:rsidP="00BD49C0">
      <w:pPr>
        <w:rPr>
          <w:color w:val="000000" w:themeColor="text1"/>
        </w:rPr>
      </w:pPr>
      <w:r>
        <w:rPr>
          <w:color w:val="000000" w:themeColor="text1"/>
        </w:rPr>
        <w:t xml:space="preserve">Eins können wir bereits jetzt sagen, </w:t>
      </w:r>
      <w:r w:rsidRPr="00BD49C0">
        <w:rPr>
          <w:color w:val="000000" w:themeColor="text1"/>
        </w:rPr>
        <w:t>s gibt verschiedene Faktoren, die zum Erfolg des Distanzlernens und -lehrens beitragen</w:t>
      </w:r>
      <w:r>
        <w:rPr>
          <w:color w:val="000000" w:themeColor="text1"/>
        </w:rPr>
        <w:t xml:space="preserve">: </w:t>
      </w:r>
    </w:p>
    <w:p w14:paraId="3E5438DC" w14:textId="77777777" w:rsidR="00BD49C0" w:rsidRPr="00BD49C0" w:rsidRDefault="00BD49C0" w:rsidP="00BD49C0">
      <w:pPr>
        <w:rPr>
          <w:color w:val="000000" w:themeColor="text1"/>
        </w:rPr>
      </w:pPr>
      <w:r w:rsidRPr="00BD49C0">
        <w:rPr>
          <w:b/>
          <w:color w:val="000000" w:themeColor="text1"/>
        </w:rPr>
        <w:t>Flexibilität</w:t>
      </w:r>
      <w:r w:rsidRPr="00BD49C0">
        <w:rPr>
          <w:color w:val="000000" w:themeColor="text1"/>
        </w:rPr>
        <w:t>: Distanzunterricht bietet den Schülern und Lehrern mehr Flexibilität in Bezug auf Zeit und Raum. Die Schüler können lernen und arbeiten, wann und wo es für sie am besten passt. Lehrer können ihre Lektionen und Aktivitäten ebenfalls so gestalten, dass sie den Bedürfnissen und Zeitplänen der Schüler entsprechen.</w:t>
      </w:r>
    </w:p>
    <w:p w14:paraId="2DD6E94E" w14:textId="77777777" w:rsidR="00BD49C0" w:rsidRPr="00BD49C0" w:rsidRDefault="00BD49C0" w:rsidP="00BD49C0">
      <w:pPr>
        <w:rPr>
          <w:color w:val="000000" w:themeColor="text1"/>
        </w:rPr>
      </w:pPr>
      <w:r w:rsidRPr="00BD49C0">
        <w:rPr>
          <w:b/>
          <w:color w:val="000000" w:themeColor="text1"/>
        </w:rPr>
        <w:t>Technologie:</w:t>
      </w:r>
      <w:r w:rsidRPr="00BD49C0">
        <w:rPr>
          <w:color w:val="000000" w:themeColor="text1"/>
        </w:rPr>
        <w:t xml:space="preserve"> Die Nutzung von Technologie, wie beispielsweise Video- und Audio-Tools, ermöglicht eine interaktive und effektive Kommunikation zwischen Lehrern und Schülern. Die Verfügbarkeit von Online-Plattformen und -Tools erleichtert auch die Organisation und Verwaltung des Unterrichts.</w:t>
      </w:r>
    </w:p>
    <w:p w14:paraId="15446E25" w14:textId="77777777" w:rsidR="00BD49C0" w:rsidRPr="00BD49C0" w:rsidRDefault="00BD49C0" w:rsidP="00BD49C0">
      <w:pPr>
        <w:rPr>
          <w:color w:val="000000" w:themeColor="text1"/>
        </w:rPr>
      </w:pPr>
      <w:r w:rsidRPr="00BD49C0">
        <w:rPr>
          <w:b/>
          <w:color w:val="000000" w:themeColor="text1"/>
        </w:rPr>
        <w:t>Individuelle Betreuung:</w:t>
      </w:r>
      <w:r w:rsidRPr="00BD49C0">
        <w:rPr>
          <w:color w:val="000000" w:themeColor="text1"/>
        </w:rPr>
        <w:t xml:space="preserve"> Distanzunterricht ermöglicht Lehrern eine individuelle Betreuung ihrer Schüler, da sie leichter auf individuelle Bedürfnisse eingehen und personalisierte Lernpläne erstellen können.</w:t>
      </w:r>
    </w:p>
    <w:p w14:paraId="1A1E93DB" w14:textId="12C1A931" w:rsidR="00BD49C0" w:rsidRPr="00BD49C0" w:rsidRDefault="00BD49C0" w:rsidP="00BD49C0">
      <w:pPr>
        <w:rPr>
          <w:color w:val="000000" w:themeColor="text1"/>
        </w:rPr>
      </w:pPr>
      <w:r w:rsidRPr="00BD49C0">
        <w:rPr>
          <w:b/>
          <w:color w:val="000000" w:themeColor="text1"/>
        </w:rPr>
        <w:t>Selbstständigkeit:</w:t>
      </w:r>
      <w:r w:rsidRPr="00BD49C0">
        <w:rPr>
          <w:color w:val="000000" w:themeColor="text1"/>
        </w:rPr>
        <w:t xml:space="preserve"> Distanzunterricht fördert auch die Selbstständigkeit und Eigenverantwortung der Schüler, da sie mehr Verantwortung für ihr eigenes Lernen übernehmen müssen und selbstständig arbeiten müssen.</w:t>
      </w:r>
    </w:p>
    <w:p w14:paraId="221AF388" w14:textId="77777777" w:rsidR="00BD49C0" w:rsidRPr="00BD49C0" w:rsidRDefault="00BD49C0" w:rsidP="00BD49C0">
      <w:pPr>
        <w:rPr>
          <w:color w:val="000000" w:themeColor="text1"/>
        </w:rPr>
      </w:pPr>
      <w:r w:rsidRPr="00BD49C0">
        <w:rPr>
          <w:b/>
          <w:color w:val="000000" w:themeColor="text1"/>
        </w:rPr>
        <w:t>Zugänglichkeit</w:t>
      </w:r>
      <w:r w:rsidRPr="00BD49C0">
        <w:rPr>
          <w:color w:val="000000" w:themeColor="text1"/>
        </w:rPr>
        <w:t>: Distanzunterricht kann auch eine größere Zugänglichkeit zu Bildung ermöglichen, da er Schülern zugänglich gemacht werden kann, die aufgrund geografischer oder physischer Einschränkungen nicht in der Lage sind, an traditionellem Unterricht teilzunehmen.</w:t>
      </w:r>
    </w:p>
    <w:p w14:paraId="7EFD5A01" w14:textId="2A847706" w:rsidR="00BD49C0" w:rsidRDefault="00BD49C0" w:rsidP="00BD49C0">
      <w:pPr>
        <w:rPr>
          <w:color w:val="000000" w:themeColor="text1"/>
        </w:rPr>
      </w:pPr>
    </w:p>
    <w:p w14:paraId="61F3F7B6" w14:textId="6033629C" w:rsidR="00BD49C0" w:rsidRDefault="00BD49C0" w:rsidP="00BD49C0">
      <w:pPr>
        <w:jc w:val="right"/>
        <w:rPr>
          <w:b/>
          <w:color w:val="000000" w:themeColor="text1"/>
          <w:sz w:val="24"/>
        </w:rPr>
      </w:pPr>
      <w:r w:rsidRPr="00BD49C0">
        <w:rPr>
          <w:b/>
          <w:color w:val="000000" w:themeColor="text1"/>
          <w:sz w:val="24"/>
        </w:rPr>
        <w:t>Wollen Sie noch mehr erfahren? Dann folgen Sie uns auf Social Media und besuchen Sie unsere Projektseite!  Wir freuen uns auf Sie!</w:t>
      </w:r>
    </w:p>
    <w:p w14:paraId="15EC3FD9" w14:textId="6772F8DA" w:rsidR="00787F8D" w:rsidRPr="00BD49C0" w:rsidRDefault="00FA1BF9" w:rsidP="00BD49C0">
      <w:pPr>
        <w:jc w:val="both"/>
        <w:rPr>
          <w:b/>
          <w:color w:val="000000" w:themeColor="text1"/>
          <w:sz w:val="24"/>
        </w:rPr>
      </w:pPr>
      <w:r w:rsidRPr="00FA1BF9">
        <w:rPr>
          <w:szCs w:val="28"/>
        </w:rPr>
        <w:t xml:space="preserve">Erfahren Sie mehr über SAFE und bleiben </w:t>
      </w:r>
      <w:r w:rsidR="0034776C">
        <w:rPr>
          <w:szCs w:val="28"/>
        </w:rPr>
        <w:t>S</w:t>
      </w:r>
      <w:r w:rsidRPr="00FA1BF9">
        <w:rPr>
          <w:szCs w:val="28"/>
        </w:rPr>
        <w:t xml:space="preserve">ie auf dem Laufenden. </w:t>
      </w:r>
      <w:r w:rsidR="00CD3D3C" w:rsidRPr="00FA1BF9">
        <w:rPr>
          <w:szCs w:val="28"/>
        </w:rPr>
        <w:t xml:space="preserve">Besuchen Sie unsere Website unter </w:t>
      </w:r>
      <w:hyperlink r:id="rId12" w:history="1">
        <w:r w:rsidRPr="00F44DB9">
          <w:rPr>
            <w:rStyle w:val="Hyperlink"/>
          </w:rPr>
          <w:t>https://safe.eduproject.eu/</w:t>
        </w:r>
      </w:hyperlink>
      <w:r>
        <w:t xml:space="preserve"> oder </w:t>
      </w:r>
      <w:r w:rsidR="00CD3D3C" w:rsidRPr="00FA1BF9">
        <w:rPr>
          <w:szCs w:val="28"/>
        </w:rPr>
        <w:t>kontaktieren Sie direkt den Projektpartner in Ihrem Heimatland!</w:t>
      </w:r>
    </w:p>
    <w:sectPr w:rsidR="00787F8D" w:rsidRPr="00BD49C0" w:rsidSect="00E5663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AC12" w14:textId="77777777" w:rsidR="00C45D2C" w:rsidRDefault="00C45D2C" w:rsidP="000E5F5D">
      <w:pPr>
        <w:spacing w:after="0" w:line="240" w:lineRule="auto"/>
      </w:pPr>
      <w:r>
        <w:separator/>
      </w:r>
    </w:p>
  </w:endnote>
  <w:endnote w:type="continuationSeparator" w:id="0">
    <w:p w14:paraId="2A48B4D5" w14:textId="77777777" w:rsidR="00C45D2C" w:rsidRDefault="00C45D2C"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2146" w14:textId="77777777" w:rsidR="007050F1" w:rsidRDefault="007050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E150" w14:textId="77777777" w:rsidR="007050F1" w:rsidRDefault="007050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9F27" w14:textId="77777777" w:rsidR="00C45D2C" w:rsidRDefault="00C45D2C" w:rsidP="000E5F5D">
      <w:pPr>
        <w:spacing w:after="0" w:line="240" w:lineRule="auto"/>
      </w:pPr>
      <w:r>
        <w:separator/>
      </w:r>
    </w:p>
  </w:footnote>
  <w:footnote w:type="continuationSeparator" w:id="0">
    <w:p w14:paraId="346AA37B" w14:textId="77777777" w:rsidR="00C45D2C" w:rsidRDefault="00C45D2C"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7132" w14:textId="77777777" w:rsidR="007050F1" w:rsidRDefault="007050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2C0F14DB"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7050F1">
                            <w:rPr>
                              <w:sz w:val="16"/>
                              <w:lang w:val="en-GB"/>
                            </w:rPr>
                            <w:t>2</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2C0F14DB"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7050F1">
                      <w:rPr>
                        <w:sz w:val="16"/>
                        <w:lang w:val="en-GB"/>
                      </w:rPr>
                      <w:t>2</w:t>
                    </w:r>
                    <w:bookmarkStart w:id="2" w:name="_GoBack"/>
                    <w:bookmarkEnd w:id="2"/>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C8CA" w14:textId="77777777" w:rsidR="007050F1" w:rsidRDefault="007050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258BB"/>
    <w:rsid w:val="0003580B"/>
    <w:rsid w:val="00046C30"/>
    <w:rsid w:val="00056652"/>
    <w:rsid w:val="000715A4"/>
    <w:rsid w:val="000729EA"/>
    <w:rsid w:val="00081B70"/>
    <w:rsid w:val="000A2A9C"/>
    <w:rsid w:val="000A2AF6"/>
    <w:rsid w:val="000B3AEA"/>
    <w:rsid w:val="000C1B6A"/>
    <w:rsid w:val="000C6DF3"/>
    <w:rsid w:val="000D02D5"/>
    <w:rsid w:val="000D55EF"/>
    <w:rsid w:val="000E5F5D"/>
    <w:rsid w:val="000E62D8"/>
    <w:rsid w:val="000F0FF8"/>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72D2B"/>
    <w:rsid w:val="00173445"/>
    <w:rsid w:val="00185CE6"/>
    <w:rsid w:val="00192F05"/>
    <w:rsid w:val="001931E4"/>
    <w:rsid w:val="001A5ABB"/>
    <w:rsid w:val="001C288D"/>
    <w:rsid w:val="001D1E34"/>
    <w:rsid w:val="001D2365"/>
    <w:rsid w:val="001D4FC6"/>
    <w:rsid w:val="001D7A2C"/>
    <w:rsid w:val="001E2377"/>
    <w:rsid w:val="001E6B25"/>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C0EF8"/>
    <w:rsid w:val="003C4EDF"/>
    <w:rsid w:val="003C7283"/>
    <w:rsid w:val="003C7477"/>
    <w:rsid w:val="003D30A1"/>
    <w:rsid w:val="003E6ADA"/>
    <w:rsid w:val="003E78B5"/>
    <w:rsid w:val="003E7BDB"/>
    <w:rsid w:val="00402B50"/>
    <w:rsid w:val="00403178"/>
    <w:rsid w:val="0040481B"/>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732"/>
    <w:rsid w:val="006E2764"/>
    <w:rsid w:val="006E6F60"/>
    <w:rsid w:val="006F37EA"/>
    <w:rsid w:val="006F42EB"/>
    <w:rsid w:val="006F75E9"/>
    <w:rsid w:val="00703B17"/>
    <w:rsid w:val="007050F1"/>
    <w:rsid w:val="00724D76"/>
    <w:rsid w:val="00737C42"/>
    <w:rsid w:val="0074113B"/>
    <w:rsid w:val="00745826"/>
    <w:rsid w:val="00750D24"/>
    <w:rsid w:val="0075155E"/>
    <w:rsid w:val="00770F6D"/>
    <w:rsid w:val="00772F9A"/>
    <w:rsid w:val="00774EFA"/>
    <w:rsid w:val="00781A6C"/>
    <w:rsid w:val="00781C75"/>
    <w:rsid w:val="0078206B"/>
    <w:rsid w:val="00785C01"/>
    <w:rsid w:val="00787F8D"/>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404FD"/>
    <w:rsid w:val="008479BA"/>
    <w:rsid w:val="0085302E"/>
    <w:rsid w:val="00874477"/>
    <w:rsid w:val="00882DAA"/>
    <w:rsid w:val="00887B50"/>
    <w:rsid w:val="00890EE2"/>
    <w:rsid w:val="00891AAE"/>
    <w:rsid w:val="008B069E"/>
    <w:rsid w:val="008B458A"/>
    <w:rsid w:val="008B56A8"/>
    <w:rsid w:val="008B5FDC"/>
    <w:rsid w:val="008C2DF0"/>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68D6"/>
    <w:rsid w:val="00997D04"/>
    <w:rsid w:val="009A0434"/>
    <w:rsid w:val="009A061D"/>
    <w:rsid w:val="009C2398"/>
    <w:rsid w:val="009C47D4"/>
    <w:rsid w:val="009C68F2"/>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96106"/>
    <w:rsid w:val="00BA0BB8"/>
    <w:rsid w:val="00BA42B9"/>
    <w:rsid w:val="00BB33C8"/>
    <w:rsid w:val="00BC089C"/>
    <w:rsid w:val="00BC76AE"/>
    <w:rsid w:val="00BD49C0"/>
    <w:rsid w:val="00BE1D92"/>
    <w:rsid w:val="00BE58FE"/>
    <w:rsid w:val="00BE7B35"/>
    <w:rsid w:val="00BF445F"/>
    <w:rsid w:val="00C02C5E"/>
    <w:rsid w:val="00C105E3"/>
    <w:rsid w:val="00C117AC"/>
    <w:rsid w:val="00C1195E"/>
    <w:rsid w:val="00C147DF"/>
    <w:rsid w:val="00C32238"/>
    <w:rsid w:val="00C404D5"/>
    <w:rsid w:val="00C4123B"/>
    <w:rsid w:val="00C45D2C"/>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F9"/>
    <w:rsid w:val="00D229C7"/>
    <w:rsid w:val="00D24DEA"/>
    <w:rsid w:val="00D25C0C"/>
    <w:rsid w:val="00D337E2"/>
    <w:rsid w:val="00D36496"/>
    <w:rsid w:val="00D55005"/>
    <w:rsid w:val="00D63040"/>
    <w:rsid w:val="00D9323F"/>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0142"/>
    <w:rsid w:val="00E537B0"/>
    <w:rsid w:val="00E5457E"/>
    <w:rsid w:val="00E5663D"/>
    <w:rsid w:val="00E60DD7"/>
    <w:rsid w:val="00E65E95"/>
    <w:rsid w:val="00E93804"/>
    <w:rsid w:val="00E978AE"/>
    <w:rsid w:val="00EA4F74"/>
    <w:rsid w:val="00EB438E"/>
    <w:rsid w:val="00EB6AB7"/>
    <w:rsid w:val="00EC1A2A"/>
    <w:rsid w:val="00EC76C4"/>
    <w:rsid w:val="00EC7F11"/>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fe.eduproject.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083C0-FC44-4859-A8E1-4382B23F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4</cp:revision>
  <dcterms:created xsi:type="dcterms:W3CDTF">2023-03-01T11:57:00Z</dcterms:created>
  <dcterms:modified xsi:type="dcterms:W3CDTF">2023-03-01T12:48:00Z</dcterms:modified>
</cp:coreProperties>
</file>